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ackground w:color="FFFFFF"/>
  <w:body>
    <w:p>
      <w:pPr>
        <w:keepNext/>
        <w:spacing w:after="160"/>
        <w:jc w:val="left"/>
      </w:pPr>
      <w:r>
        <w:rPr>
          <w:b/>
          <w:bCs/>
          <w:color w:val="2E74B5"/>
          <w:sz w:val="42"/>
          <w:szCs w:val="42"/>
        </w:rPr>
        <w:t xml:space="preserve">Aircraft Register</w:t>
      </w:r>
    </w:p>
    <w:p>
      <w:pPr>
        <w:keepNext/>
        <w:spacing w:after="80"/>
      </w:pPr>
      <w:r>
        <w:rPr>
          <w:b/>
          <w:bCs/>
          <w:color w:val="1F2937"/>
          <w:sz w:val="23"/>
          <w:szCs w:val="23"/>
        </w:rPr>
        <w:t xml:space="preserve">Skyline Roof Surveys (Mavic 3)</w:t>
      </w:r>
      <w:r>
        <w:rPr>
          <w:color w:val="5B6573"/>
          <w:sz w:val="21"/>
          <w:szCs w:val="21"/>
        </w:rPr>
        <w:t xml:space="preserve">  ·  Skyline Roof Surveys Ltd</w:t>
      </w:r>
    </w:p>
    <w:p>
      <w:pPr>
        <w:spacing w:after="80" w:line="280"/>
      </w:pPr>
      <w:r>
        <w:rPr>
          <w:color w:val="5B6573"/>
          <w:sz w:val="18"/>
          <w:szCs w:val="18"/>
        </w:rPr>
        <w:t xml:space="preserve">Generated 2026-07-10  ·  Template 0.2.0</w:t>
      </w:r>
    </w:p>
    <w:p>
      <w:pPr>
        <w:keepNext/>
        <w:spacing w:after="220"/>
      </w:pPr>
      <w:r>
        <w:rPr>
          <w:b/>
          <w:bCs/>
          <w:color w:val="9A6700"/>
          <w:sz w:val="19"/>
          <w:szCs w:val="19"/>
        </w:rPr>
        <w:t xml:space="preserve">DRAFT — accountable-manager review and adoption required before operational use.</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Website prefilled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Current aircraft identity, configuration, in-service date, responsible person and opening hours.</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Operator action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Add a row only when the aircraft configuration changes; blank rows are intentional future records.</w:t>
            </w:r>
          </w:p>
        </w:tc>
      </w:tr>
    </w:tbl>
    <w:p>
      <w:pPr>
        <w:spacing w:after="120" w:line="320"/>
      </w:pPr>
      <w:r>
        <w:rPr>
          <w:color w:val="1F2937"/>
        </w:rPr>
        <w:t xml:space="preserve">Controlled master record for this aircraft. Keep it with the maintenance log and update it whenever configuration, firmware, payload or ownership details change.</w:t>
      </w:r>
    </w:p>
    <w:p>
      <w:pPr>
        <w:pStyle w:val="Heading2"/>
        <w:keepNext/>
        <w:spacing w:after="140" w:before="280"/>
      </w:pPr>
      <w:r>
        <w:t xml:space="preserve">Operator and authorisation</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UAS operator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Skyline Roof Surveys Ltd</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CAA Operator ID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[SAMPLE] OP-XXXXXXXXXXXX</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PDRA01 authorisation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[SAMPLE] PDRA01-123456</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Accountable manager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J. Smith</w:t>
            </w:r>
          </w:p>
        </w:tc>
      </w:tr>
    </w:tbl>
    <w:p>
      <w:pPr>
        <w:pStyle w:val="Heading2"/>
        <w:keepNext/>
        <w:spacing w:after="140" w:before="280"/>
      </w:pPr>
      <w:r>
        <w:t xml:space="preserve">Aircraft identity and configuration</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Manufacturer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DJI</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Model</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Mavic 3 Enterprise</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Aircraft category</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Multirotor</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UA type / configuration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Quadcopter</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Serial number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1581F5FHD228Q00A17XX</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MTOM</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0.9 kg</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Date brought into service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2025-04-15</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Propulsion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Electric (battery)</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Battery / fuel specification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DJI Intelligent Flight Battery, Li-ion 4S 5000 mAh, one flight pack</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Payload(s)</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Camera — DJI integrated wide and tele cameras on the factory three-axis gimbal; no separate mounting or CG change.</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Flight controller / autopilot</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DJI stock flight controller</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Command unit</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DJI RC Pro Enterprise</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Firmware version at issue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Aircraft 10.01.08.01; controller 02.01.02.00</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Command-and-control link</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Dual 2.4 / 5.8 GHz</w:t>
            </w:r>
          </w:p>
        </w:tc>
      </w:tr>
    </w:tbl>
    <w:p>
      <w:r>
        <w:br w:type="page"/>
      </w:r>
    </w:p>
    <w:p>
      <w:pPr>
        <w:pStyle w:val="Heading2"/>
        <w:keepNext/>
        <w:spacing w:after="140" w:before="280"/>
      </w:pPr>
      <w:r>
        <w:t xml:space="preserve">Operational limits and safety</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Dimensions / rotor span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347.5 × 283 × 107.7 mm unfolded, propellers excluded</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Typical endurance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35 min</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Maximum airspeed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21 m/s</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Operating temperature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-10°C to 40°C</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Safety features</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Return-to-home, Geofence, Low battery warning, Lost-link failsafe</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Lost-link behaviour</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Return home</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CAA Operator ID displayed</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Yes</w:t>
            </w:r>
          </w:p>
        </w:tc>
      </w:tr>
    </w:tbl>
    <w:p>
      <w:pPr>
        <w:pStyle w:val="Heading2"/>
        <w:keepNext/>
        <w:spacing w:after="140" w:before="280"/>
      </w:pPr>
      <w:r>
        <w:t xml:space="preserve">Maintenance baseline</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2700"/>
        <w:gridCol w:w="6660"/>
      </w:tblGrid>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Maintenance responsible person</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J. Smith</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Maintenance cycle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Manufacturer checks plus detailed inspection every 50 flight hours and after any hard landing or propeller strike</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Current total aircraft hours</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18.4 h</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Last inspection / maintenance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No prior maintenance declared</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Next maintenance due</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At 50 total flight hours or after any abnormal event</w:t>
            </w:r>
          </w:p>
        </w:tc>
      </w:tr>
      <w:tr>
        <w:trPr>
          <w:cantSplit/>
        </w:trPr>
        <w:tc>
          <w:tcPr>
            <w:tcW w:type="dxa" w:w="2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Existing-history status</w:t>
            </w:r>
          </w:p>
        </w:tc>
        <w:tc>
          <w:tcPr>
            <w:tcW w:type="dxa" w:w="6660"/>
            <w:tcMar>
              <w:top w:type="dxa" w:w="80"/>
              <w:left w:type="dxa" w:w="120"/>
              <w:bottom w:type="dxa" w:w="80"/>
              <w:right w:type="dxa" w:w="120"/>
            </w:tcMar>
            <w:vAlign w:val="center"/>
          </w:tcPr>
          <w:p>
            <w:pPr>
              <w:spacing w:after="0" w:line="260"/>
            </w:pPr>
            <w:r>
              <w:rPr>
                <w:color w:val="1F2937"/>
                <w:sz w:val="19"/>
                <w:szCs w:val="19"/>
              </w:rPr>
              <w:t xml:space="preserve">Opening entry — operator confirms no maintenance, repair or modification activity before this log.</w:t>
            </w:r>
          </w:p>
        </w:tc>
      </w:tr>
    </w:tbl>
    <w:p>
      <w:pPr>
        <w:spacing w:after="80" w:line="280"/>
      </w:pPr>
      <w:r>
        <w:rPr>
          <w:color w:val="5B6573"/>
          <w:sz w:val="18"/>
          <w:szCs w:val="18"/>
        </w:rPr>
        <w:t xml:space="preserve">A maintenance log must be provided for every UAS involved in the last three flights, even where that UAS has no recorded maintenance activity. Maintenance activity must follow and record the manufacturer's recommendations.</w:t>
      </w:r>
    </w:p>
    <w:p>
      <w:pPr>
        <w:spacing w:after="80" w:line="280"/>
      </w:pPr>
      <w:r>
        <w:rPr>
          <w:color w:val="5B6573"/>
          <w:sz w:val="18"/>
          <w:szCs w:val="18"/>
        </w:rPr>
        <w:t xml:space="preserve">Operator-ID note: The UAS operator must hold a valid CAA Operator ID and display it on every unmanned aircraft.</w:t>
      </w:r>
    </w:p>
    <w:p>
      <w:pPr>
        <w:pStyle w:val="Heading2"/>
        <w:keepNext/>
        <w:spacing w:after="140" w:before="280"/>
      </w:pPr>
      <w:r>
        <w:t xml:space="preserve">Configuration change record</w:t>
      </w:r>
    </w:p>
    <w:tbl>
      <w:tblPr>
        <w:tblW w:type="dxa" w:w="9360"/>
        <w:tblInd w:type="dxa" w:w="120"/>
        <w:tblBorders>
          <w:top w:val="single" w:color="AEB7C2" w:sz="2"/>
          <w:left w:val="single" w:color="AEB7C2" w:sz="2"/>
          <w:bottom w:val="single" w:color="AEB7C2" w:sz="2"/>
          <w:right w:val="single" w:color="AEB7C2" w:sz="2"/>
          <w:insideH w:val="single" w:color="D5DAE0" w:sz="1"/>
          <w:insideV w:val="single" w:color="D5DAE0" w:sz="1"/>
        </w:tblBorders>
        <w:tblLayout w:type="fixed"/>
        <w:tblCellMar>
          <w:top w:type="dxa" w:w="80"/>
          <w:left w:type="dxa" w:w="120"/>
          <w:bottom w:type="dxa" w:w="80"/>
          <w:right w:type="dxa" w:w="120"/>
        </w:tblCellMar>
      </w:tblPr>
      <w:tblGrid>
        <w:gridCol w:w="1100"/>
        <w:gridCol w:w="2800"/>
        <w:gridCol w:w="2500"/>
        <w:gridCol w:w="1700"/>
        <w:gridCol w:w="1260"/>
      </w:tblGrid>
      <w:tr>
        <w:trPr>
          <w:cantSplit/>
          <w:tblHeader/>
        </w:trPr>
        <w:tc>
          <w:tcPr>
            <w:tcW w:type="dxa" w:w="11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Date</w:t>
            </w:r>
          </w:p>
        </w:tc>
        <w:tc>
          <w:tcPr>
            <w:tcW w:type="dxa" w:w="28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Configuration / firmware / payload change</w:t>
            </w:r>
          </w:p>
        </w:tc>
        <w:tc>
          <w:tcPr>
            <w:tcW w:type="dxa" w:w="25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Reason and assessment</w:t>
            </w:r>
          </w:p>
        </w:tc>
        <w:tc>
          <w:tcPr>
            <w:tcW w:type="dxa" w:w="170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Technical-log reference</w:t>
            </w:r>
          </w:p>
        </w:tc>
        <w:tc>
          <w:tcPr>
            <w:tcW w:type="dxa" w:w="1260"/>
            <w:shd w:fill="E8EEF5" w:color="auto" w:val="clear"/>
            <w:tcMar>
              <w:top w:type="dxa" w:w="80"/>
              <w:left w:type="dxa" w:w="120"/>
              <w:bottom w:type="dxa" w:w="80"/>
              <w:right w:type="dxa" w:w="120"/>
            </w:tcMar>
            <w:vAlign w:val="center"/>
          </w:tcPr>
          <w:p>
            <w:pPr>
              <w:spacing w:after="0" w:line="260"/>
            </w:pPr>
            <w:r>
              <w:rPr>
                <w:b/>
                <w:bCs/>
                <w:color w:val="1F4D78"/>
                <w:sz w:val="18"/>
                <w:szCs w:val="18"/>
              </w:rPr>
              <w:t xml:space="preserve">Signed by</w:t>
            </w:r>
          </w:p>
        </w:tc>
      </w:tr>
      <w:tr>
        <w:trPr>
          <w:cantSplit/>
        </w:trPr>
        <w:tc>
          <w:tcPr>
            <w:tcW w:type="dxa" w:w="1100"/>
            <w:tcMar>
              <w:top w:type="dxa" w:w="80"/>
              <w:left w:type="dxa" w:w="120"/>
              <w:bottom w:type="dxa" w:w="80"/>
              <w:right w:type="dxa" w:w="120"/>
            </w:tcMar>
            <w:vAlign w:val="center"/>
          </w:tcPr>
          <w:p>
            <w:pPr>
              <w:spacing w:after="0" w:line="260"/>
            </w:pPr>
            <w:r>
              <w:rPr>
                <w:color w:val="1F2937"/>
                <w:sz w:val="19"/>
                <w:szCs w:val="19"/>
              </w:rPr>
              <w:t xml:space="preserve"> 
 </w:t>
            </w:r>
          </w:p>
        </w:tc>
        <w:tc>
          <w:tcPr>
            <w:tcW w:type="dxa" w:w="2800"/>
            <w:tcMar>
              <w:top w:type="dxa" w:w="80"/>
              <w:left w:type="dxa" w:w="120"/>
              <w:bottom w:type="dxa" w:w="80"/>
              <w:right w:type="dxa" w:w="120"/>
            </w:tcMar>
            <w:vAlign w:val="center"/>
          </w:tcPr>
          <w:p>
            <w:pPr>
              <w:spacing w:after="0" w:line="260"/>
            </w:pPr>
            <w:r>
              <w:rPr>
                <w:color w:val="1F2937"/>
                <w:sz w:val="19"/>
                <w:szCs w:val="19"/>
              </w:rPr>
              <w:t xml:space="preserve"> 
 </w:t>
            </w:r>
          </w:p>
        </w:tc>
        <w:tc>
          <w:tcPr>
            <w:tcW w:type="dxa" w:w="2500"/>
            <w:tcMar>
              <w:top w:type="dxa" w:w="80"/>
              <w:left w:type="dxa" w:w="120"/>
              <w:bottom w:type="dxa" w:w="80"/>
              <w:right w:type="dxa" w:w="120"/>
            </w:tcMar>
            <w:vAlign w:val="center"/>
          </w:tcPr>
          <w:p>
            <w:pPr>
              <w:spacing w:after="0" w:line="260"/>
            </w:pPr>
            <w:r>
              <w:rPr>
                <w:color w:val="1F2937"/>
                <w:sz w:val="19"/>
                <w:szCs w:val="19"/>
              </w:rPr>
              <w:t xml:space="preserve"> 
 </w:t>
            </w:r>
          </w:p>
        </w:tc>
        <w:tc>
          <w:tcPr>
            <w:tcW w:type="dxa" w:w="1700"/>
            <w:tcMar>
              <w:top w:type="dxa" w:w="80"/>
              <w:left w:type="dxa" w:w="120"/>
              <w:bottom w:type="dxa" w:w="80"/>
              <w:right w:type="dxa" w:w="120"/>
            </w:tcMar>
            <w:vAlign w:val="center"/>
          </w:tcPr>
          <w:p>
            <w:pPr>
              <w:spacing w:after="0" w:line="260"/>
            </w:pPr>
            <w:r>
              <w:rPr>
                <w:color w:val="1F2937"/>
                <w:sz w:val="19"/>
                <w:szCs w:val="19"/>
              </w:rPr>
              <w:t xml:space="preserve"> 
 </w:t>
            </w:r>
          </w:p>
        </w:tc>
        <w:tc>
          <w:tcPr>
            <w:tcW w:type="dxa" w:w="1260"/>
            <w:tcMar>
              <w:top w:type="dxa" w:w="80"/>
              <w:left w:type="dxa" w:w="120"/>
              <w:bottom w:type="dxa" w:w="80"/>
              <w:right w:type="dxa" w:w="120"/>
            </w:tcMar>
            <w:vAlign w:val="center"/>
          </w:tcPr>
          <w:p>
            <w:pPr>
              <w:spacing w:after="0" w:line="260"/>
            </w:pPr>
            <w:r>
              <w:rPr>
                <w:color w:val="1F2937"/>
                <w:sz w:val="19"/>
                <w:szCs w:val="19"/>
              </w:rPr>
              <w:t xml:space="preserve"> 
 </w:t>
            </w:r>
          </w:p>
        </w:tc>
      </w:tr>
      <w:tr>
        <w:trPr>
          <w:cantSplit/>
        </w:trPr>
        <w:tc>
          <w:tcPr>
            <w:tcW w:type="dxa" w:w="1100"/>
            <w:tcMar>
              <w:top w:type="dxa" w:w="80"/>
              <w:left w:type="dxa" w:w="120"/>
              <w:bottom w:type="dxa" w:w="80"/>
              <w:right w:type="dxa" w:w="120"/>
            </w:tcMar>
            <w:vAlign w:val="center"/>
          </w:tcPr>
          <w:p>
            <w:pPr>
              <w:spacing w:after="0" w:line="260"/>
            </w:pPr>
            <w:r>
              <w:rPr>
                <w:color w:val="1F2937"/>
                <w:sz w:val="19"/>
                <w:szCs w:val="19"/>
              </w:rPr>
              <w:t xml:space="preserve"> 
 </w:t>
            </w:r>
          </w:p>
        </w:tc>
        <w:tc>
          <w:tcPr>
            <w:tcW w:type="dxa" w:w="2800"/>
            <w:tcMar>
              <w:top w:type="dxa" w:w="80"/>
              <w:left w:type="dxa" w:w="120"/>
              <w:bottom w:type="dxa" w:w="80"/>
              <w:right w:type="dxa" w:w="120"/>
            </w:tcMar>
            <w:vAlign w:val="center"/>
          </w:tcPr>
          <w:p>
            <w:pPr>
              <w:spacing w:after="0" w:line="260"/>
            </w:pPr>
            <w:r>
              <w:rPr>
                <w:color w:val="1F2937"/>
                <w:sz w:val="19"/>
                <w:szCs w:val="19"/>
              </w:rPr>
              <w:t xml:space="preserve"> 
 </w:t>
            </w:r>
          </w:p>
        </w:tc>
        <w:tc>
          <w:tcPr>
            <w:tcW w:type="dxa" w:w="2500"/>
            <w:tcMar>
              <w:top w:type="dxa" w:w="80"/>
              <w:left w:type="dxa" w:w="120"/>
              <w:bottom w:type="dxa" w:w="80"/>
              <w:right w:type="dxa" w:w="120"/>
            </w:tcMar>
            <w:vAlign w:val="center"/>
          </w:tcPr>
          <w:p>
            <w:pPr>
              <w:spacing w:after="0" w:line="260"/>
            </w:pPr>
            <w:r>
              <w:rPr>
                <w:color w:val="1F2937"/>
                <w:sz w:val="19"/>
                <w:szCs w:val="19"/>
              </w:rPr>
              <w:t xml:space="preserve"> 
 </w:t>
            </w:r>
          </w:p>
        </w:tc>
        <w:tc>
          <w:tcPr>
            <w:tcW w:type="dxa" w:w="1700"/>
            <w:tcMar>
              <w:top w:type="dxa" w:w="80"/>
              <w:left w:type="dxa" w:w="120"/>
              <w:bottom w:type="dxa" w:w="80"/>
              <w:right w:type="dxa" w:w="120"/>
            </w:tcMar>
            <w:vAlign w:val="center"/>
          </w:tcPr>
          <w:p>
            <w:pPr>
              <w:spacing w:after="0" w:line="260"/>
            </w:pPr>
            <w:r>
              <w:rPr>
                <w:color w:val="1F2937"/>
                <w:sz w:val="19"/>
                <w:szCs w:val="19"/>
              </w:rPr>
              <w:t xml:space="preserve"> 
 </w:t>
            </w:r>
          </w:p>
        </w:tc>
        <w:tc>
          <w:tcPr>
            <w:tcW w:type="dxa" w:w="1260"/>
            <w:tcMar>
              <w:top w:type="dxa" w:w="80"/>
              <w:left w:type="dxa" w:w="120"/>
              <w:bottom w:type="dxa" w:w="80"/>
              <w:right w:type="dxa" w:w="120"/>
            </w:tcMar>
            <w:vAlign w:val="center"/>
          </w:tcPr>
          <w:p>
            <w:pPr>
              <w:spacing w:after="0" w:line="260"/>
            </w:pPr>
            <w:r>
              <w:rPr>
                <w:color w:val="1F2937"/>
                <w:sz w:val="19"/>
                <w:szCs w:val="19"/>
              </w:rPr>
              <w:t xml:space="preserve"> 
 </w:t>
            </w:r>
          </w:p>
        </w:tc>
      </w:tr>
      <w:tr>
        <w:trPr>
          <w:cantSplit/>
        </w:trPr>
        <w:tc>
          <w:tcPr>
            <w:tcW w:type="dxa" w:w="1100"/>
            <w:tcMar>
              <w:top w:type="dxa" w:w="80"/>
              <w:left w:type="dxa" w:w="120"/>
              <w:bottom w:type="dxa" w:w="80"/>
              <w:right w:type="dxa" w:w="120"/>
            </w:tcMar>
            <w:vAlign w:val="center"/>
          </w:tcPr>
          <w:p>
            <w:pPr>
              <w:spacing w:after="0" w:line="260"/>
            </w:pPr>
            <w:r>
              <w:rPr>
                <w:color w:val="1F2937"/>
                <w:sz w:val="19"/>
                <w:szCs w:val="19"/>
              </w:rPr>
              <w:t xml:space="preserve"> 
 </w:t>
            </w:r>
          </w:p>
        </w:tc>
        <w:tc>
          <w:tcPr>
            <w:tcW w:type="dxa" w:w="2800"/>
            <w:tcMar>
              <w:top w:type="dxa" w:w="80"/>
              <w:left w:type="dxa" w:w="120"/>
              <w:bottom w:type="dxa" w:w="80"/>
              <w:right w:type="dxa" w:w="120"/>
            </w:tcMar>
            <w:vAlign w:val="center"/>
          </w:tcPr>
          <w:p>
            <w:pPr>
              <w:spacing w:after="0" w:line="260"/>
            </w:pPr>
            <w:r>
              <w:rPr>
                <w:color w:val="1F2937"/>
                <w:sz w:val="19"/>
                <w:szCs w:val="19"/>
              </w:rPr>
              <w:t xml:space="preserve"> 
 </w:t>
            </w:r>
          </w:p>
        </w:tc>
        <w:tc>
          <w:tcPr>
            <w:tcW w:type="dxa" w:w="2500"/>
            <w:tcMar>
              <w:top w:type="dxa" w:w="80"/>
              <w:left w:type="dxa" w:w="120"/>
              <w:bottom w:type="dxa" w:w="80"/>
              <w:right w:type="dxa" w:w="120"/>
            </w:tcMar>
            <w:vAlign w:val="center"/>
          </w:tcPr>
          <w:p>
            <w:pPr>
              <w:spacing w:after="0" w:line="260"/>
            </w:pPr>
            <w:r>
              <w:rPr>
                <w:color w:val="1F2937"/>
                <w:sz w:val="19"/>
                <w:szCs w:val="19"/>
              </w:rPr>
              <w:t xml:space="preserve"> 
 </w:t>
            </w:r>
          </w:p>
        </w:tc>
        <w:tc>
          <w:tcPr>
            <w:tcW w:type="dxa" w:w="1700"/>
            <w:tcMar>
              <w:top w:type="dxa" w:w="80"/>
              <w:left w:type="dxa" w:w="120"/>
              <w:bottom w:type="dxa" w:w="80"/>
              <w:right w:type="dxa" w:w="120"/>
            </w:tcMar>
            <w:vAlign w:val="center"/>
          </w:tcPr>
          <w:p>
            <w:pPr>
              <w:spacing w:after="0" w:line="260"/>
            </w:pPr>
            <w:r>
              <w:rPr>
                <w:color w:val="1F2937"/>
                <w:sz w:val="19"/>
                <w:szCs w:val="19"/>
              </w:rPr>
              <w:t xml:space="preserve"> 
 </w:t>
            </w:r>
          </w:p>
        </w:tc>
        <w:tc>
          <w:tcPr>
            <w:tcW w:type="dxa" w:w="1260"/>
            <w:tcMar>
              <w:top w:type="dxa" w:w="80"/>
              <w:left w:type="dxa" w:w="120"/>
              <w:bottom w:type="dxa" w:w="80"/>
              <w:right w:type="dxa" w:w="120"/>
            </w:tcMar>
            <w:vAlign w:val="center"/>
          </w:tcPr>
          <w:p>
            <w:pPr>
              <w:spacing w:after="0" w:line="260"/>
            </w:pPr>
            <w:r>
              <w:rPr>
                <w:color w:val="1F2937"/>
                <w:sz w:val="19"/>
                <w:szCs w:val="19"/>
              </w:rPr>
              <w:t xml:space="preserve"> 
 </w:t>
            </w:r>
          </w:p>
        </w:tc>
      </w:tr>
      <w:tr>
        <w:trPr>
          <w:cantSplit/>
        </w:trPr>
        <w:tc>
          <w:tcPr>
            <w:tcW w:type="dxa" w:w="1100"/>
            <w:tcMar>
              <w:top w:type="dxa" w:w="80"/>
              <w:left w:type="dxa" w:w="120"/>
              <w:bottom w:type="dxa" w:w="80"/>
              <w:right w:type="dxa" w:w="120"/>
            </w:tcMar>
            <w:vAlign w:val="center"/>
          </w:tcPr>
          <w:p>
            <w:pPr>
              <w:spacing w:after="0" w:line="260"/>
            </w:pPr>
            <w:r>
              <w:rPr>
                <w:color w:val="1F2937"/>
                <w:sz w:val="19"/>
                <w:szCs w:val="19"/>
              </w:rPr>
              <w:t xml:space="preserve"> 
 </w:t>
            </w:r>
          </w:p>
        </w:tc>
        <w:tc>
          <w:tcPr>
            <w:tcW w:type="dxa" w:w="2800"/>
            <w:tcMar>
              <w:top w:type="dxa" w:w="80"/>
              <w:left w:type="dxa" w:w="120"/>
              <w:bottom w:type="dxa" w:w="80"/>
              <w:right w:type="dxa" w:w="120"/>
            </w:tcMar>
            <w:vAlign w:val="center"/>
          </w:tcPr>
          <w:p>
            <w:pPr>
              <w:spacing w:after="0" w:line="260"/>
            </w:pPr>
            <w:r>
              <w:rPr>
                <w:color w:val="1F2937"/>
                <w:sz w:val="19"/>
                <w:szCs w:val="19"/>
              </w:rPr>
              <w:t xml:space="preserve"> 
 </w:t>
            </w:r>
          </w:p>
        </w:tc>
        <w:tc>
          <w:tcPr>
            <w:tcW w:type="dxa" w:w="2500"/>
            <w:tcMar>
              <w:top w:type="dxa" w:w="80"/>
              <w:left w:type="dxa" w:w="120"/>
              <w:bottom w:type="dxa" w:w="80"/>
              <w:right w:type="dxa" w:w="120"/>
            </w:tcMar>
            <w:vAlign w:val="center"/>
          </w:tcPr>
          <w:p>
            <w:pPr>
              <w:spacing w:after="0" w:line="260"/>
            </w:pPr>
            <w:r>
              <w:rPr>
                <w:color w:val="1F2937"/>
                <w:sz w:val="19"/>
                <w:szCs w:val="19"/>
              </w:rPr>
              <w:t xml:space="preserve"> 
 </w:t>
            </w:r>
          </w:p>
        </w:tc>
        <w:tc>
          <w:tcPr>
            <w:tcW w:type="dxa" w:w="1700"/>
            <w:tcMar>
              <w:top w:type="dxa" w:w="80"/>
              <w:left w:type="dxa" w:w="120"/>
              <w:bottom w:type="dxa" w:w="80"/>
              <w:right w:type="dxa" w:w="120"/>
            </w:tcMar>
            <w:vAlign w:val="center"/>
          </w:tcPr>
          <w:p>
            <w:pPr>
              <w:spacing w:after="0" w:line="260"/>
            </w:pPr>
            <w:r>
              <w:rPr>
                <w:color w:val="1F2937"/>
                <w:sz w:val="19"/>
                <w:szCs w:val="19"/>
              </w:rPr>
              <w:t xml:space="preserve"> 
 </w:t>
            </w:r>
          </w:p>
        </w:tc>
        <w:tc>
          <w:tcPr>
            <w:tcW w:type="dxa" w:w="1260"/>
            <w:tcMar>
              <w:top w:type="dxa" w:w="80"/>
              <w:left w:type="dxa" w:w="120"/>
              <w:bottom w:type="dxa" w:w="80"/>
              <w:right w:type="dxa" w:w="120"/>
            </w:tcMar>
            <w:vAlign w:val="center"/>
          </w:tcPr>
          <w:p>
            <w:pPr>
              <w:spacing w:after="0" w:line="260"/>
            </w:pPr>
            <w:r>
              <w:rPr>
                <w:color w:val="1F2937"/>
                <w:sz w:val="19"/>
                <w:szCs w:val="19"/>
              </w:rPr>
              <w:t xml:space="preserve"> 
 </w:t>
            </w:r>
          </w:p>
        </w:tc>
      </w:tr>
      <w:tr>
        <w:trPr>
          <w:cantSplit/>
        </w:trPr>
        <w:tc>
          <w:tcPr>
            <w:tcW w:type="dxa" w:w="1100"/>
            <w:tcMar>
              <w:top w:type="dxa" w:w="80"/>
              <w:left w:type="dxa" w:w="120"/>
              <w:bottom w:type="dxa" w:w="80"/>
              <w:right w:type="dxa" w:w="120"/>
            </w:tcMar>
            <w:vAlign w:val="center"/>
          </w:tcPr>
          <w:p>
            <w:pPr>
              <w:spacing w:after="0" w:line="260"/>
            </w:pPr>
            <w:r>
              <w:rPr>
                <w:color w:val="1F2937"/>
                <w:sz w:val="19"/>
                <w:szCs w:val="19"/>
              </w:rPr>
              <w:t xml:space="preserve"> 
 </w:t>
            </w:r>
          </w:p>
        </w:tc>
        <w:tc>
          <w:tcPr>
            <w:tcW w:type="dxa" w:w="2800"/>
            <w:tcMar>
              <w:top w:type="dxa" w:w="80"/>
              <w:left w:type="dxa" w:w="120"/>
              <w:bottom w:type="dxa" w:w="80"/>
              <w:right w:type="dxa" w:w="120"/>
            </w:tcMar>
            <w:vAlign w:val="center"/>
          </w:tcPr>
          <w:p>
            <w:pPr>
              <w:spacing w:after="0" w:line="260"/>
            </w:pPr>
            <w:r>
              <w:rPr>
                <w:color w:val="1F2937"/>
                <w:sz w:val="19"/>
                <w:szCs w:val="19"/>
              </w:rPr>
              <w:t xml:space="preserve"> 
 </w:t>
            </w:r>
          </w:p>
        </w:tc>
        <w:tc>
          <w:tcPr>
            <w:tcW w:type="dxa" w:w="2500"/>
            <w:tcMar>
              <w:top w:type="dxa" w:w="80"/>
              <w:left w:type="dxa" w:w="120"/>
              <w:bottom w:type="dxa" w:w="80"/>
              <w:right w:type="dxa" w:w="120"/>
            </w:tcMar>
            <w:vAlign w:val="center"/>
          </w:tcPr>
          <w:p>
            <w:pPr>
              <w:spacing w:after="0" w:line="260"/>
            </w:pPr>
            <w:r>
              <w:rPr>
                <w:color w:val="1F2937"/>
                <w:sz w:val="19"/>
                <w:szCs w:val="19"/>
              </w:rPr>
              <w:t xml:space="preserve"> 
 </w:t>
            </w:r>
          </w:p>
        </w:tc>
        <w:tc>
          <w:tcPr>
            <w:tcW w:type="dxa" w:w="1700"/>
            <w:tcMar>
              <w:top w:type="dxa" w:w="80"/>
              <w:left w:type="dxa" w:w="120"/>
              <w:bottom w:type="dxa" w:w="80"/>
              <w:right w:type="dxa" w:w="120"/>
            </w:tcMar>
            <w:vAlign w:val="center"/>
          </w:tcPr>
          <w:p>
            <w:pPr>
              <w:spacing w:after="0" w:line="260"/>
            </w:pPr>
            <w:r>
              <w:rPr>
                <w:color w:val="1F2937"/>
                <w:sz w:val="19"/>
                <w:szCs w:val="19"/>
              </w:rPr>
              <w:t xml:space="preserve"> 
 </w:t>
            </w:r>
          </w:p>
        </w:tc>
        <w:tc>
          <w:tcPr>
            <w:tcW w:type="dxa" w:w="1260"/>
            <w:tcMar>
              <w:top w:type="dxa" w:w="80"/>
              <w:left w:type="dxa" w:w="120"/>
              <w:bottom w:type="dxa" w:w="80"/>
              <w:right w:type="dxa" w:w="120"/>
            </w:tcMar>
            <w:vAlign w:val="center"/>
          </w:tcPr>
          <w:p>
            <w:pPr>
              <w:spacing w:after="0" w:line="260"/>
            </w:pPr>
            <w:r>
              <w:rPr>
                <w:color w:val="1F2937"/>
                <w:sz w:val="19"/>
                <w:szCs w:val="19"/>
              </w:rPr>
              <w:t xml:space="preserve"> 
 </w:t>
            </w:r>
          </w:p>
        </w:tc>
      </w:tr>
    </w:tbl>
    <w:sectPr>
      <w:headerReference w:type="default" r:id="rId7"/>
      <w:footerReference w:type="default" r:id="rId8"/>
      <w:pgSz w:w="11906" w:h="16838" w:orient="portrait"/>
      <w:pgMar w:top="1134" w:right="1273" w:bottom="1134" w:left="1273"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before="60"/>
      <w:jc w:val="center"/>
    </w:pPr>
    <w:r>
      <w:rPr>
        <w:color w:val="6B7280"/>
        <w:sz w:val="13"/>
        <w:szCs w:val="13"/>
      </w:rPr>
      <w:t xml:space="preserve">Draft generated by Drone Ready. Review required before operational use; not CAA approval or legal advice. Template 0.2.0. OGL v3.0.</w:t>
    </w:r>
    <w:r>
      <w:rPr>
        <w:color w:val="6B7280"/>
        <w:sz w:val="13"/>
        <w:szCs w:val="13"/>
      </w:rPr>
      <w:t xml:space="preserve">  ·  Page </w:t>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5DAE0" w:sz="2"/>
      </w:pBdr>
      <w:spacing w:after="80"/>
    </w:pPr>
    <w:r>
      <w:rPr>
        <w:b/>
        <w:bCs/>
        <w:color w:val="7A8695"/>
        <w:spacing w:val="20"/>
        <w:sz w:val="15"/>
        <w:szCs w:val="15"/>
      </w:rPr>
      <w:t xml:space="preserve">DRONE READY  /  PDRA01 DOCUMENTATION PACK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spacing w:after="80" w:line="320"/>
        <w:ind w:left="540" w:hanging="271"/>
      </w:pPr>
      <w:rPr>
        <w:rFonts w:ascii="Calibri" w:cs="Calibri" w:eastAsia="Calibri" w:hAnsi="Calibri"/>
        <w:sz w:val="22"/>
        <w:szCs w:val="22"/>
      </w:r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F2937"/>
        <w:sz w:val="22"/>
        <w:szCs w:val="22"/>
      </w:rPr>
    </w:rPrDefault>
    <w:pPrDefault>
      <w:pPr>
        <w:spacing w:after="120" w:line="320"/>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200" w:before="360"/>
    </w:pPr>
    <w:rPr>
      <w:rFonts w:ascii="Calibri" w:cs="Calibri" w:eastAsia="Calibri" w:hAnsi="Calibri"/>
      <w:b/>
      <w:bCs/>
      <w:color w:val="2E74B5"/>
      <w:sz w:val="32"/>
      <w:szCs w:val="32"/>
    </w:rPr>
  </w:style>
  <w:style w:type="paragraph" w:styleId="Heading2">
    <w:name w:val="Heading 2"/>
    <w:basedOn w:val="Normal"/>
    <w:next w:val="Normal"/>
    <w:qFormat/>
    <w:pPr>
      <w:keepNext/>
      <w:spacing w:after="140" w:before="280"/>
    </w:pPr>
    <w:rPr>
      <w:rFonts w:ascii="Calibri" w:cs="Calibri" w:eastAsia="Calibri" w:hAnsi="Calibri"/>
      <w:b/>
      <w:bCs/>
      <w:color w:val="1F2937"/>
      <w:sz w:val="26"/>
      <w:szCs w:val="26"/>
    </w:rPr>
  </w:style>
  <w:style w:type="paragraph" w:styleId="Heading3">
    <w:name w:val="Heading 3"/>
    <w:basedOn w:val="Normal"/>
    <w:next w:val="Normal"/>
    <w:qFormat/>
    <w:pPr>
      <w:keepNext/>
      <w:spacing w:after="100" w:before="200"/>
    </w:pPr>
    <w:rPr>
      <w:rFonts w:ascii="Calibri" w:cs="Calibri" w:eastAsia="Calibri" w:hAnsi="Calibri"/>
      <w:b/>
      <w:bCs/>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2026-07-10T07:14:29.565Z</dcterms:created>
  <dcterms:modified xsi:type="dcterms:W3CDTF">2026-07-10T07:14:29.565Z</dcterms:modified>
</cp:coreProperties>
</file>

<file path=docProps/custom.xml><?xml version="1.0" encoding="utf-8"?>
<Properties xmlns="http://schemas.openxmlformats.org/officeDocument/2006/custom-properties" xmlns:vt="http://schemas.openxmlformats.org/officeDocument/2006/docPropsVTypes"/>
</file>