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ackground w:color="FFFFFF"/>
  <w:body>
    <w:p>
      <w:pPr>
        <w:keepNext/>
        <w:spacing w:after="160"/>
        <w:jc w:val="left"/>
      </w:pPr>
      <w:r>
        <w:rPr>
          <w:b/>
          <w:bCs/>
          <w:color w:val="2E74B5"/>
          <w:sz w:val="42"/>
          <w:szCs w:val="42"/>
        </w:rPr>
        <w:t xml:space="preserve">Emergency Procedures &amp; Occurrence Record</w:t>
      </w:r>
    </w:p>
    <w:p>
      <w:pPr>
        <w:keepNext/>
        <w:spacing w:after="80"/>
      </w:pPr>
      <w:r>
        <w:rPr>
          <w:b/>
          <w:bCs/>
          <w:color w:val="1F2937"/>
          <w:sz w:val="23"/>
          <w:szCs w:val="23"/>
        </w:rPr>
        <w:t xml:space="preserve">Skyline Roof Surveys (Mavic 3)</w:t>
      </w:r>
      <w:r>
        <w:rPr>
          <w:color w:val="5B6573"/>
          <w:sz w:val="21"/>
          <w:szCs w:val="21"/>
        </w:rPr>
        <w:t xml:space="preserve">  ·  Skyline Roof Surveys Ltd</w:t>
      </w:r>
    </w:p>
    <w:p>
      <w:pPr>
        <w:spacing w:after="80" w:line="280"/>
      </w:pPr>
      <w:r>
        <w:rPr>
          <w:color w:val="5B6573"/>
          <w:sz w:val="18"/>
          <w:szCs w:val="18"/>
        </w:rPr>
        <w:t xml:space="preserve">Generated 2026-07-10  ·  Template 0.2.0</w:t>
      </w:r>
    </w:p>
    <w:p>
      <w:pPr>
        <w:keepNext/>
        <w:spacing w:after="220"/>
      </w:pPr>
      <w:r>
        <w:rPr>
          <w:b/>
          <w:bCs/>
          <w:color w:val="9A6700"/>
          <w:sz w:val="19"/>
          <w:szCs w:val="19"/>
        </w:rPr>
        <w:t xml:space="preserve">DRAFT — accountable-manager review and adoption required before operational use.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Website prefilled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contacts, aircraft identity and the declared emergency and lost-link arrangements.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Operator action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Use the occurrence record only after an event; add factual details, reports, investigation and close-out evidence.</w:t>
            </w:r>
          </w:p>
        </w:tc>
      </w:tr>
    </w:tbl>
    <w:p>
      <w:pPr>
        <w:spacing w:after="120" w:line="320"/>
      </w:pPr>
      <w:r>
        <w:rPr>
          <w:color w:val="1F2937"/>
        </w:rPr>
        <w:t xml:space="preserve">Quick-reference actions for Operations Manual Sections 2.16–2.18. Perform immediate safety actions first, then complete the reporting record in this document. When in doubt, land.</w:t>
      </w:r>
    </w:p>
    <w:p>
      <w:pPr>
        <w:pStyle w:val="Heading2"/>
        <w:keepNext/>
        <w:spacing w:after="140" w:before="280"/>
      </w:pPr>
      <w:r>
        <w:t xml:space="preserve">Emergency contacts and identity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Emergency services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999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Emergency / operational contact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Skyline duty manager — 07700 900123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Accountable manager contact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j.smith@skyline.example · 07700 900123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UAS operator / Operator ID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Skyline Roof Surveys Ltd / [SAMPLE] OP-XXXXXXXXXXXX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PDRA01 authorisation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[SAMPLE] PDRA01-123456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Aircraft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DJI Mavic 3 Enterprise / 1581F5FHD228Q00A17XX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Declared lost-link action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Return home</w:t>
            </w:r>
          </w:p>
        </w:tc>
      </w:tr>
    </w:tbl>
    <w:p>
      <w:pPr>
        <w:pStyle w:val="Heading2"/>
        <w:keepNext/>
        <w:spacing w:after="140" w:before="280"/>
      </w:pPr>
      <w:r>
        <w:t xml:space="preserve">Immediate actions</w:t>
      </w:r>
    </w:p>
    <w:p>
      <w:pPr>
        <w:pStyle w:val="Heading3"/>
        <w:keepNext/>
        <w:spacing w:after="100" w:before="200"/>
      </w:pPr>
      <w:r>
        <w:t xml:space="preserve">Lost control signal</w:t>
      </w:r>
    </w:p>
    <w:p>
      <w:pPr>
        <w:spacing w:after="120" w:line="320"/>
      </w:pPr>
      <w:r>
        <w:rPr>
          <w:color w:val="1F2937"/>
        </w:rPr>
        <w:t xml:space="preserve">Announce; anticipate the tested failsafe; optimise antenna and reduce range if safe; prepare the landing/termination area; monitor to completion.</w:t>
      </w:r>
    </w:p>
    <w:p>
      <w:pPr>
        <w:pStyle w:val="Heading3"/>
        <w:keepNext/>
        <w:spacing w:after="100" w:before="200"/>
      </w:pPr>
      <w:r>
        <w:t xml:space="preserve">Flyaway</w:t>
      </w:r>
    </w:p>
    <w:p>
      <w:pPr>
        <w:spacing w:after="120" w:line="320"/>
      </w:pPr>
      <w:r>
        <w:rPr>
          <w:color w:val="1F2937"/>
        </w:rPr>
        <w:t xml:space="preserve">Record last position, heading, altitude and endurance; warn those at risk; contact the relevant airspace authority if an FRZ or controlled airspace may be entered; begin reporting actions.</w:t>
      </w:r>
    </w:p>
    <w:p>
      <w:pPr>
        <w:pStyle w:val="Heading3"/>
        <w:keepNext/>
        <w:spacing w:after="100" w:before="200"/>
      </w:pPr>
      <w:r>
        <w:t xml:space="preserve">Low battery / energy</w:t>
      </w:r>
    </w:p>
    <w:p>
      <w:pPr>
        <w:spacing w:after="120" w:line="320"/>
      </w:pPr>
      <w:r>
        <w:rPr>
          <w:color w:val="1F2937"/>
        </w:rPr>
        <w:t xml:space="preserve">Return and land immediately with the planned reserve; do not extend the task.</w:t>
      </w:r>
    </w:p>
    <w:p>
      <w:pPr>
        <w:pStyle w:val="Heading3"/>
        <w:keepNext/>
        <w:spacing w:after="100" w:before="200"/>
      </w:pPr>
      <w:r>
        <w:t xml:space="preserve">GNSS loss</w:t>
      </w:r>
    </w:p>
    <w:p>
      <w:pPr>
        <w:spacing w:after="120" w:line="320"/>
      </w:pPr>
      <w:r>
        <w:rPr>
          <w:color w:val="1F2937"/>
        </w:rPr>
        <w:t xml:space="preserve">Stabilise in the appropriate non-GNSS mode; increase separation; land; do not rely on position hold or RTH.</w:t>
      </w:r>
    </w:p>
    <w:p>
      <w:pPr>
        <w:pStyle w:val="Heading3"/>
        <w:keepNext/>
        <w:spacing w:after="100" w:before="200"/>
      </w:pPr>
      <w:r>
        <w:t xml:space="preserve">Propulsion failure</w:t>
      </w:r>
    </w:p>
    <w:p>
      <w:pPr>
        <w:spacing w:after="120" w:line="320"/>
      </w:pPr>
      <w:r>
        <w:rPr>
          <w:color w:val="1F2937"/>
        </w:rPr>
        <w:t xml:space="preserve">Land immediately; for multiple-motor loss descend over the clearest area.</w:t>
      </w:r>
    </w:p>
    <w:p>
      <w:pPr>
        <w:pStyle w:val="Heading3"/>
        <w:keepNext/>
        <w:spacing w:after="100" w:before="200"/>
      </w:pPr>
      <w:r>
        <w:t xml:space="preserve">Control-surface failure</w:t>
      </w:r>
    </w:p>
    <w:p>
      <w:pPr>
        <w:spacing w:after="120" w:line="320"/>
      </w:pPr>
      <w:r>
        <w:rPr>
          <w:color w:val="1F2937"/>
        </w:rPr>
        <w:t xml:space="preserve">Not applicable to the declared aircraft category.</w:t>
      </w:r>
    </w:p>
    <w:p>
      <w:pPr>
        <w:pStyle w:val="Heading3"/>
        <w:keepNext/>
        <w:spacing w:after="100" w:before="200"/>
      </w:pPr>
      <w:r>
        <w:t xml:space="preserve">Payload detachment / defect</w:t>
      </w:r>
    </w:p>
    <w:p>
      <w:pPr>
        <w:spacing w:after="120" w:line="320"/>
      </w:pPr>
      <w:r>
        <w:rPr>
          <w:color w:val="1F2937"/>
        </w:rPr>
        <w:t xml:space="preserve">Warn crew; land and make safe; protect people below; record and inspect before further flight.</w:t>
      </w:r>
    </w:p>
    <w:p>
      <w:pPr>
        <w:pStyle w:val="Heading3"/>
        <w:keepNext/>
        <w:spacing w:after="100" w:before="200"/>
      </w:pPr>
      <w:r>
        <w:t xml:space="preserve">Crash / injury</w:t>
      </w:r>
    </w:p>
    <w:p>
      <w:pPr>
        <w:spacing w:after="120" w:line="320"/>
      </w:pPr>
      <w:r>
        <w:rPr>
          <w:color w:val="1F2937"/>
        </w:rPr>
        <w:t xml:space="preserve">Stop the operation; make the area safe; provide first aid; call 999 where needed; isolate batteries; preserve aircraft, logs and media.</w:t>
      </w:r>
    </w:p>
    <w:p>
      <w:pPr>
        <w:pStyle w:val="Heading3"/>
        <w:keepNext/>
        <w:spacing w:after="100" w:before="200"/>
      </w:pPr>
      <w:r>
        <w:t xml:space="preserve">Fire</w:t>
      </w:r>
    </w:p>
    <w:p>
      <w:pPr>
        <w:spacing w:after="120" w:line="320"/>
      </w:pPr>
      <w:r>
        <w:rPr>
          <w:color w:val="1F2937"/>
        </w:rPr>
        <w:t xml:space="preserve">Land or terminate away from people; do not approach a burning lithium battery; use suitable isolation/extinguishing equipment; call 999 if uncontained.</w:t>
      </w:r>
    </w:p>
    <w:p>
      <w:pPr>
        <w:pStyle w:val="Heading3"/>
        <w:keepNext/>
        <w:spacing w:after="100" w:before="200"/>
      </w:pPr>
      <w:r>
        <w:t xml:space="preserve">Ground incursion</w:t>
      </w:r>
    </w:p>
    <w:p>
      <w:pPr>
        <w:spacing w:after="120" w:line="320"/>
      </w:pPr>
      <w:r>
        <w:rPr>
          <w:color w:val="1F2937"/>
        </w:rPr>
        <w:t xml:space="preserve">Move the aircraft clear and hold or land; never overfly the person; resume only after the cordon is restored.</w:t>
      </w:r>
    </w:p>
    <w:p>
      <w:pPr>
        <w:pStyle w:val="Heading3"/>
        <w:keepNext/>
        <w:spacing w:after="100" w:before="200"/>
      </w:pPr>
      <w:r>
        <w:t xml:space="preserve">Weather deterioration</w:t>
      </w:r>
    </w:p>
    <w:p>
      <w:pPr>
        <w:spacing w:after="120" w:line="320"/>
      </w:pPr>
      <w:r>
        <w:rPr>
          <w:color w:val="1F2937"/>
        </w:rPr>
        <w:t xml:space="preserve">Cease manoeuvres; return and land at the primary or emergency landing area.</w:t>
      </w:r>
    </w:p>
    <w:p>
      <w:pPr>
        <w:pStyle w:val="Heading3"/>
        <w:keepNext/>
        <w:spacing w:after="100" w:before="200"/>
      </w:pPr>
      <w:r>
        <w:t xml:space="preserve">Air incursion / airprox</w:t>
      </w:r>
    </w:p>
    <w:p>
      <w:pPr>
        <w:spacing w:after="120" w:line="320"/>
      </w:pPr>
      <w:r>
        <w:rPr>
          <w:color w:val="1F2937"/>
        </w:rPr>
        <w:t xml:space="preserve">Give way, descend or land; note the other aircraft details and geometry; preserve the flight record; follow occurrence and Airprox reporting.</w:t>
      </w:r>
    </w:p>
    <w:p>
      <w:pPr>
        <w:pStyle w:val="Heading3"/>
        <w:keepNext/>
        <w:spacing w:after="100" w:before="200"/>
      </w:pPr>
      <w:r>
        <w:t xml:space="preserve">Pilot incapacitation</w:t>
      </w:r>
    </w:p>
    <w:p>
      <w:pPr>
        <w:spacing w:after="120" w:line="320"/>
      </w:pPr>
      <w:r>
        <w:rPr>
          <w:color w:val="1F2937"/>
        </w:rPr>
        <w:t xml:space="preserve">Support crew uses the pre-briefed RTH/landing action, calls 999 and secures the aircraft. A lone pilot does not operate if health or fatigue is in doubt.</w:t>
      </w:r>
    </w:p>
    <w:p>
      <w:pPr>
        <w:pStyle w:val="Heading3"/>
        <w:keepNext/>
        <w:spacing w:after="100" w:before="200"/>
      </w:pPr>
      <w:r>
        <w:t xml:space="preserve">Data / security incident</w:t>
      </w:r>
    </w:p>
    <w:p>
      <w:pPr>
        <w:spacing w:after="120" w:line="320"/>
      </w:pPr>
      <w:r>
        <w:rPr>
          <w:color w:val="1F2937"/>
        </w:rPr>
        <w:t xml:space="preserve">Contain access; preserve records; notify the accountable manager; assess personal-data impact under the privacy procedure.</w:t>
      </w:r>
    </w:p>
    <w:p>
      <w:r>
        <w:br w:type="page"/>
      </w:r>
    </w:p>
    <w:p>
      <w:pPr>
        <w:pStyle w:val="Heading2"/>
        <w:keepNext/>
        <w:spacing w:after="140" w:before="280"/>
      </w:pPr>
      <w:r>
        <w:t xml:space="preserve">Annex 5 — occurrence and airprox reporting form</w:t>
      </w:r>
    </w:p>
    <w:p>
      <w:pPr>
        <w:spacing w:after="120" w:line="320"/>
      </w:pPr>
      <w:r>
        <w:rPr>
          <w:color w:val="1F2937"/>
        </w:rPr>
        <w:t xml:space="preserve">Occurrences must be reported in line with UK Reg (EU) 376/2014 and CAP 722; reportable accidents must be reported to the AAIB in line with UK Reg (EU) 996/2010.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Report type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OCCURRENCE / SERIOUS INCIDENT / ACCIDENT / AIRPROX / OTHER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Flight-log entry number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Date, time and location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Remote pilot / Flyer ID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J. Smith / [SAMPLE] FLY-XXXXXXXXXXXX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Other crew / witnesses and contact details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Aircraft state / payload / take-off mass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DJI Mavic 3 Enterprise / 1581F5FHD228Q00A17XX; OPERATOR ENTRY REQUIRED — record actual state, payload and take-off mass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Weather and visibility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Injuries / property damage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Other aircraft details (if relevant)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Airspace / altitude / closest distance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Evidence preserved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Aircraft / controller / logs / images / witness details / other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Authority / client notifications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MORS report date and reference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UK Airprox report date and reference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</w:tbl>
    <w:p>
      <w:pPr>
        <w:pStyle w:val="Heading3"/>
        <w:keepNext/>
        <w:spacing w:after="100" w:before="200"/>
      </w:pPr>
      <w:r>
        <w:t xml:space="preserve">Event narrative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9360"/>
      </w:tblGrid>
      <w:tr>
        <w:trPr>
          <w:cantSplit/>
          <w:tblHeader/>
        </w:trPr>
        <w:tc>
          <w:tcPr>
            <w:tcW w:type="dxa" w:w="936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Sequence of events — include what happened immediately before, during and after the event</w:t>
            </w:r>
          </w:p>
        </w:tc>
      </w:tr>
      <w:tr>
        <w:trPr>
          <w:cantSplit/>
          <w:trHeight w:val="1000" w:hRule="atLeast"/>
        </w:trPr>
        <w:tc>
          <w:tcPr>
            <w:tcW w:type="dxa" w:w="93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</w:tbl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9360"/>
      </w:tblGrid>
      <w:tr>
        <w:trPr>
          <w:cantSplit/>
          <w:tblHeader/>
        </w:trPr>
        <w:tc>
          <w:tcPr>
            <w:tcW w:type="dxa" w:w="936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Immediate safety, emergency and notification actions</w:t>
            </w:r>
          </w:p>
        </w:tc>
      </w:tr>
      <w:tr>
        <w:trPr>
          <w:cantSplit/>
          <w:trHeight w:val="700" w:hRule="atLeast"/>
        </w:trPr>
        <w:tc>
          <w:tcPr>
            <w:tcW w:type="dxa" w:w="93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3"/>
        <w:keepNext/>
        <w:spacing w:after="100" w:before="200"/>
      </w:pPr>
      <w:r>
        <w:t xml:space="preserve">Investigation and corrective action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Investigator / accountable manager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J. Smith; OPERATOR ENTRY REQUIRED — confirm investigator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Operations Manual / risk assessment amended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YES / NO / NOT REQUIRED — OPERATOR ENTRY REQUIRED — add reference where applicable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Close-out evidence and date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Signature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</w:tbl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9360"/>
      </w:tblGrid>
      <w:tr>
        <w:trPr>
          <w:cantSplit/>
          <w:tblHeader/>
        </w:trPr>
        <w:tc>
          <w:tcPr>
            <w:tcW w:type="dxa" w:w="936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Direct, contributing and root-cause factors / learning</w:t>
            </w:r>
          </w:p>
        </w:tc>
      </w:tr>
      <w:tr>
        <w:trPr>
          <w:cantSplit/>
          <w:trHeight w:val="850" w:hRule="atLeast"/>
        </w:trPr>
        <w:tc>
          <w:tcPr>
            <w:tcW w:type="dxa" w:w="93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</w:tbl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9360"/>
      </w:tblGrid>
      <w:tr>
        <w:trPr>
          <w:cantSplit/>
          <w:tblHeader/>
        </w:trPr>
        <w:tc>
          <w:tcPr>
            <w:tcW w:type="dxa" w:w="936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Corrective action, owner, due date and effectiveness check</w:t>
            </w:r>
          </w:p>
        </w:tc>
      </w:tr>
      <w:tr>
        <w:trPr>
          <w:cantSplit/>
          <w:trHeight w:val="850" w:hRule="atLeast"/>
        </w:trPr>
        <w:tc>
          <w:tcPr>
            <w:tcW w:type="dxa" w:w="93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134" w:right="1273" w:bottom="1134" w:left="1273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60"/>
      <w:jc w:val="center"/>
    </w:pPr>
    <w:r>
      <w:rPr>
        <w:color w:val="6B7280"/>
        <w:sz w:val="13"/>
        <w:szCs w:val="13"/>
      </w:rPr>
      <w:t xml:space="preserve">Draft generated by Drone Ready. Review required before operational use; not CAA approval or legal advice. Template 0.2.0. OGL v3.0.</w:t>
    </w:r>
    <w:r>
      <w:rPr>
        <w:color w:val="6B7280"/>
        <w:sz w:val="13"/>
        <w:szCs w:val="13"/>
      </w:rPr>
      <w:t xml:space="preserve">  ·  Page </w:t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5DAE0" w:sz="2"/>
      </w:pBdr>
      <w:spacing w:after="80"/>
    </w:pPr>
    <w:r>
      <w:rPr>
        <w:b/>
        <w:bCs/>
        <w:color w:val="7A8695"/>
        <w:spacing w:val="20"/>
        <w:sz w:val="15"/>
        <w:szCs w:val="15"/>
      </w:rPr>
      <w:t xml:space="preserve">DRONE READY  /  PDRA01 DOCUMENTATION PACK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spacing w:after="80" w:line="320"/>
        <w:ind w:left="540" w:hanging="271"/>
      </w:pPr>
      <w:rPr>
        <w:rFonts w:ascii="Calibri" w:cs="Calibri" w:eastAsia="Calibri" w:hAnsi="Calibri"/>
        <w:sz w:val="22"/>
        <w:szCs w:val="22"/>
      </w:r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F2937"/>
        <w:sz w:val="22"/>
        <w:szCs w:val="22"/>
      </w:rPr>
    </w:rPrDefault>
    <w:pPrDefault>
      <w:pPr>
        <w:spacing w:after="120" w:line="320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200" w:before="360"/>
    </w:pPr>
    <w:rPr>
      <w:rFonts w:ascii="Calibri" w:cs="Calibri" w:eastAsia="Calibri" w:hAnsi="Calibri"/>
      <w:b/>
      <w:bCs/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after="140" w:before="280"/>
    </w:pPr>
    <w:rPr>
      <w:rFonts w:ascii="Calibri" w:cs="Calibri" w:eastAsia="Calibri" w:hAnsi="Calibri"/>
      <w:b/>
      <w:bCs/>
      <w:color w:val="1F2937"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spacing w:after="100" w:before="200"/>
    </w:pPr>
    <w:rPr>
      <w:rFonts w:ascii="Calibri" w:cs="Calibri" w:eastAsia="Calibri" w:hAnsi="Calibri"/>
      <w:b/>
      <w:bCs/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2026-07-10T07:14:29.631Z</dcterms:created>
  <dcterms:modified xsi:type="dcterms:W3CDTF">2026-07-10T07:14:29.631Z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