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CAA Application &amp; Oversight Guide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Application identity, current process guidance and a cross-reference to the generated evidence pack.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Check the current CAA service and authorisation conditions, then follow the application and record-keeping steps.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Practical handover guide for the PDRA01 application and the records needed throughout the authorisation. Check the current CAA service and your authorisation conditions before acting.</w:t>
      </w:r>
    </w:p>
    <w:p>
      <w:pPr>
        <w:pStyle w:val="Heading2"/>
        <w:keepNext/>
        <w:spacing w:after="140" w:before="280"/>
      </w:pPr>
      <w:r>
        <w:t xml:space="preserve">Application identity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Applicant / operator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CAA Operator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OP-XXXXXXXXXXXX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 / Flyer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 / [SAMPLE] FLY-XXXXXXXXXXXX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RPC-L1 / GVC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GVC-12345 · issued by an RAE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Current / intended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Before applying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Confirm the applicant name exactly matches the CAA operator registration and all documents in this pack.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Hold or arrange a valid Operator ID and ensure the remote pilot holds a valid Flyer ID.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Hold the required RPC-L1 or accepted GVC evidence and current insurance.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Review, customise where operationally necessary, sign and adopt the Operations Manual draft.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Resolve every high or critical item in the Review Register.</w:t>
      </w:r>
    </w:p>
    <w:p>
      <w:pPr>
        <w:pStyle w:val="Heading2"/>
        <w:keepNext/>
        <w:spacing w:after="140" w:before="280"/>
      </w:pPr>
      <w:r>
        <w:t xml:space="preserve">Application process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The CAA aims to issue a PDRA01 authorisation within 24 hours of a complete online application (which takes around 15 minutes to submit).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The Operations Manual is not uploaded during the PDRA01 application. The applicant confirms they hold one; the CAA can request it (with flight records and logs) during audit and oversight.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Application fee: £524 per year (no VAT).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A PDRA01 operational authorisation is valid for 12 months and must be reapplied for annually.</w:t>
      </w:r>
    </w:p>
    <w:p>
      <w:pPr>
        <w:pStyle w:val="Heading2"/>
        <w:keepNext/>
        <w:spacing w:after="140" w:before="280"/>
      </w:pPr>
      <w:r>
        <w:t xml:space="preserve">After issue — create the audit trail from flight one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Enter the issued authorisation number and dates into the controlled master files if the pack was generated before issue.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Complete a feasibility/onsite survey, briefing, flight-log entry and debrief for each operation.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Update remote-pilot currency and aircraft cumulative hours after each flight.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Maintain a technical log for every aircraft, including a clear no-activity opening record where applicable.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Keep the exact operator name on the authorisation across every evidence file.</w:t>
      </w:r>
    </w:p>
    <w:p>
      <w:pPr>
        <w:pStyle w:val="Heading2"/>
        <w:keepNext/>
        <w:spacing w:after="140" w:before="280"/>
      </w:pPr>
      <w:r>
        <w:t xml:space="preserve">If selected for CAA oversight</w:t>
      </w:r>
    </w:p>
    <w:p>
      <w:pPr>
        <w:spacing w:after="120" w:line="320"/>
      </w:pPr>
      <w:r>
        <w:rPr>
          <w:color w:val="1F2937"/>
        </w:rPr>
        <w:t xml:space="preserve">If selected for a PDRA01 compliance assessment, the operator has 28 calendar days from notification to provide the requested evidence. The operational authorisation may be suspended if the evidence is not received in time.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Open document 11 and record the notification date, due date, CAA reference and response owner.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Provide the current Operations Manual, Operator ID, Flyer ID(s), qualification and currency evidence.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Cross-reference the last three PDRA01 flights to their flight logs and site surveys; surveys should ideally be from different dates.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Include the maintenance log for every UAS used in those flights, even if no maintenance activity occurred.</w:t>
      </w:r>
    </w:p>
    <w:p>
      <w:pPr>
        <w:pStyle w:val="ListParagraph"/>
        <w:numPr>
          <w:ilvl w:val="0"/>
          <w:numId w:val="2"/>
        </w:numPr>
        <w:spacing w:after="80" w:line="320"/>
      </w:pPr>
      <w:r>
        <w:rPr>
          <w:color w:val="1F2937"/>
        </w:rPr>
        <w:t xml:space="preserve">Check all files are current, readable, consistently named and signed off before submission.</w:t>
      </w:r>
    </w:p>
    <w:p>
      <w:pPr>
        <w:pStyle w:val="Heading2"/>
        <w:keepNext/>
        <w:spacing w:after="140" w:before="280"/>
      </w:pPr>
      <w:r>
        <w:t xml:space="preserve">Beyond PDRA01</w:t>
      </w:r>
    </w:p>
    <w:p>
      <w:pPr>
        <w:spacing w:after="120" w:line="320"/>
      </w:pPr>
      <w:r>
        <w:rPr>
          <w:color w:val="1F2937"/>
        </w:rPr>
        <w:t xml:space="preserve">UK SORA replaced the older Operating Safety Case (OSC) route from 23 April 2025 for operations that fall outside a PDRA. Operations beyond the PDRA01 limitations require the appropriate alternative route rather than unsupported changes to this pack.</w:t>
      </w:r>
    </w:p>
    <w:p>
      <w:pPr>
        <w:pStyle w:val="Heading3"/>
        <w:keepNext/>
        <w:spacing w:after="100" w:before="200"/>
      </w:pPr>
      <w:r>
        <w:t xml:space="preserve">Key pack documents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3700"/>
        <w:gridCol w:w="5660"/>
      </w:tblGrid>
      <w:tr>
        <w:trPr>
          <w:cantSplit/>
          <w:tblHeader/>
        </w:trPr>
        <w:tc>
          <w:tcPr>
            <w:tcW w:type="dxa" w:w="3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Purpose</w:t>
            </w:r>
          </w:p>
        </w:tc>
        <w:tc>
          <w:tcPr>
            <w:tcW w:type="dxa" w:w="56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Document</w:t>
            </w:r>
          </w:p>
        </w:tc>
      </w:tr>
      <w:tr>
        <w:trPr>
          <w:cantSplit/>
        </w:trPr>
        <w:tc>
          <w:tcPr>
            <w:tcW w:type="dxa" w:w="3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Adopted operational procedures</w:t>
            </w:r>
          </w:p>
        </w:tc>
        <w:tc>
          <w:tcPr>
            <w:tcW w:type="dxa" w:w="5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01 Operations Manual</w:t>
            </w:r>
          </w:p>
        </w:tc>
      </w:tr>
      <w:tr>
        <w:trPr>
          <w:cantSplit/>
        </w:trPr>
        <w:tc>
          <w:tcPr>
            <w:tcW w:type="dxa" w:w="3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Last-three-flight evidence</w:t>
            </w:r>
          </w:p>
        </w:tc>
        <w:tc>
          <w:tcPr>
            <w:tcW w:type="dxa" w:w="5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05 Flight Log + 06 Site Survey</w:t>
            </w:r>
          </w:p>
        </w:tc>
      </w:tr>
      <w:tr>
        <w:trPr>
          <w:cantSplit/>
        </w:trPr>
        <w:tc>
          <w:tcPr>
            <w:tcW w:type="dxa" w:w="3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Pilot qualification and currency</w:t>
            </w:r>
          </w:p>
        </w:tc>
        <w:tc>
          <w:tcPr>
            <w:tcW w:type="dxa" w:w="5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04 Remote Pilot Logbook</w:t>
            </w:r>
          </w:p>
        </w:tc>
      </w:tr>
      <w:tr>
        <w:trPr>
          <w:cantSplit/>
        </w:trPr>
        <w:tc>
          <w:tcPr>
            <w:tcW w:type="dxa" w:w="3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Aircraft maintenance evidence</w:t>
            </w:r>
          </w:p>
        </w:tc>
        <w:tc>
          <w:tcPr>
            <w:tcW w:type="dxa" w:w="5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03 Technical &amp; Maintenance Logbook</w:t>
            </w:r>
          </w:p>
        </w:tc>
      </w:tr>
      <w:tr>
        <w:trPr>
          <w:cantSplit/>
        </w:trPr>
        <w:tc>
          <w:tcPr>
            <w:tcW w:type="dxa" w:w="3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CAA response front sheet</w:t>
            </w:r>
          </w:p>
        </w:tc>
        <w:tc>
          <w:tcPr>
            <w:tcW w:type="dxa" w:w="5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11 CAA Oversight Evidence Checklist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2026-07-10T07:14:29.676Z</dcterms:created>
  <dcterms:modified xsi:type="dcterms:W3CDTF">2026-07-10T07:14:29.676Z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